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4A42D">
      <w:pPr>
        <w:spacing w:after="200" w:line="240" w:lineRule="auto"/>
        <w:jc w:val="center"/>
        <w:rPr>
          <w:rFonts w:hint="default" w:ascii="Times New Roman" w:hAnsi="Times New Roman" w:eastAsia="Times New Roman" w:cs="Times New Roman"/>
          <w:sz w:val="24"/>
          <w:szCs w:val="24"/>
        </w:rPr>
      </w:pPr>
      <w:bookmarkStart w:id="0" w:name="_Toc109897726"/>
      <w:r>
        <w:rPr>
          <w:rFonts w:hint="default" w:ascii="Times New Roman" w:hAnsi="Times New Roman" w:eastAsia="Times New Roman" w:cs="Times New Roman"/>
          <w:color w:val="000000"/>
          <w:sz w:val="24"/>
          <w:szCs w:val="24"/>
        </w:rPr>
        <w:t>Share WORLD Open University Malawi</w:t>
      </w:r>
    </w:p>
    <w:p w14:paraId="628B1242">
      <w:pPr>
        <w:spacing w:after="200" w:line="240" w:lineRule="auto"/>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000000"/>
          <w:sz w:val="24"/>
          <w:szCs w:val="24"/>
        </w:rPr>
        <w:t>FACULTY OF Health Sciences</w:t>
      </w:r>
    </w:p>
    <w:p w14:paraId="0C486BDC">
      <w:pPr>
        <w:spacing w:after="200" w:line="240" w:lineRule="auto"/>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000000"/>
          <w:sz w:val="24"/>
          <w:szCs w:val="24"/>
        </w:rPr>
        <w:t>Department of Public Health</w:t>
      </w:r>
    </w:p>
    <w:p w14:paraId="515E9064">
      <w:pPr>
        <w:spacing w:after="20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PROGRAMME:</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BSc Public Health</w:t>
      </w:r>
    </w:p>
    <w:p w14:paraId="33D63262">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YEAR:</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color w:val="000000"/>
          <w:sz w:val="24"/>
          <w:szCs w:val="24"/>
          <w:lang w:val="en-US"/>
        </w:rPr>
        <w:t>4</w:t>
      </w:r>
    </w:p>
    <w:p w14:paraId="3B579C37">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COURSE NAME:</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color w:val="000000"/>
          <w:sz w:val="24"/>
          <w:szCs w:val="24"/>
          <w:lang w:val="en-US"/>
        </w:rPr>
        <w:t>FOOD SAFETY</w:t>
      </w:r>
    </w:p>
    <w:p w14:paraId="2B10AFD1">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COURSE CODE:</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 xml:space="preserve">             PUH </w:t>
      </w:r>
      <w:r>
        <w:rPr>
          <w:rFonts w:hint="default" w:ascii="Times New Roman" w:hAnsi="Times New Roman" w:eastAsia="Times New Roman" w:cs="Times New Roman"/>
          <w:color w:val="000000"/>
          <w:sz w:val="24"/>
          <w:szCs w:val="24"/>
          <w:lang w:val="en-US"/>
        </w:rPr>
        <w:t>412</w:t>
      </w:r>
    </w:p>
    <w:p w14:paraId="3A35A37E">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TO:</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lang w:val="en-US"/>
        </w:rPr>
        <w:t>PROF MSHAWA TEMBO</w:t>
      </w:r>
    </w:p>
    <w:p w14:paraId="36CDE5F3">
      <w:pPr>
        <w:spacing w:after="20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FROM:</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Bertha Zambasa</w:t>
      </w:r>
    </w:p>
    <w:p w14:paraId="13FB7891">
      <w:pPr>
        <w:spacing w:after="20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STUDENT NO:</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24bsc03/2304ph</w:t>
      </w:r>
    </w:p>
    <w:p w14:paraId="314D0B9F">
      <w:pPr>
        <w:spacing w:after="20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ASSIGNMENT NO:</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1</w:t>
      </w:r>
    </w:p>
    <w:p w14:paraId="73C3AE65">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DUE DATE:</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color w:val="000000"/>
          <w:sz w:val="24"/>
          <w:szCs w:val="24"/>
          <w:lang w:val="en-US"/>
        </w:rPr>
        <w:t>25</w:t>
      </w:r>
      <w:r>
        <w:rPr>
          <w:rFonts w:hint="default" w:ascii="Times New Roman" w:hAnsi="Times New Roman" w:eastAsia="Times New Roman" w:cs="Times New Roman"/>
          <w:color w:val="000000"/>
          <w:sz w:val="24"/>
          <w:szCs w:val="24"/>
        </w:rPr>
        <w:t>/0</w:t>
      </w:r>
      <w:r>
        <w:rPr>
          <w:rFonts w:hint="default" w:ascii="Times New Roman" w:hAnsi="Times New Roman" w:eastAsia="Times New Roman" w:cs="Times New Roman"/>
          <w:color w:val="000000"/>
          <w:sz w:val="24"/>
          <w:szCs w:val="24"/>
          <w:lang w:val="en-US"/>
        </w:rPr>
        <w:t>3</w:t>
      </w:r>
      <w:r>
        <w:rPr>
          <w:rFonts w:hint="default" w:ascii="Times New Roman" w:hAnsi="Times New Roman" w:eastAsia="Times New Roman" w:cs="Times New Roman"/>
          <w:color w:val="000000"/>
          <w:sz w:val="24"/>
          <w:szCs w:val="24"/>
        </w:rPr>
        <w:t>/202</w:t>
      </w:r>
      <w:r>
        <w:rPr>
          <w:rFonts w:hint="default" w:ascii="Times New Roman" w:hAnsi="Times New Roman" w:eastAsia="Times New Roman" w:cs="Times New Roman"/>
          <w:color w:val="000000"/>
          <w:sz w:val="24"/>
          <w:szCs w:val="24"/>
          <w:lang w:val="en-US"/>
        </w:rPr>
        <w:t>5</w:t>
      </w:r>
    </w:p>
    <w:p w14:paraId="35065E84">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DATE SUBMITTED:</w:t>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rPr>
        <w:tab/>
      </w:r>
      <w:r>
        <w:rPr>
          <w:rFonts w:hint="default" w:ascii="Times New Roman" w:hAnsi="Times New Roman" w:eastAsia="Times New Roman" w:cs="Times New Roman"/>
          <w:color w:val="000000"/>
          <w:sz w:val="24"/>
          <w:szCs w:val="24"/>
          <w:lang w:val="en-US"/>
        </w:rPr>
        <w:t>15</w:t>
      </w:r>
      <w:r>
        <w:rPr>
          <w:rFonts w:hint="default" w:ascii="Times New Roman" w:hAnsi="Times New Roman" w:eastAsia="Times New Roman" w:cs="Times New Roman"/>
          <w:color w:val="000000"/>
          <w:sz w:val="24"/>
          <w:szCs w:val="24"/>
        </w:rPr>
        <w:t xml:space="preserve"> /0</w:t>
      </w:r>
      <w:r>
        <w:rPr>
          <w:rFonts w:hint="default" w:ascii="Times New Roman" w:hAnsi="Times New Roman" w:eastAsia="Times New Roman" w:cs="Times New Roman"/>
          <w:color w:val="000000"/>
          <w:sz w:val="24"/>
          <w:szCs w:val="24"/>
          <w:lang w:val="en-US"/>
        </w:rPr>
        <w:t>3</w:t>
      </w:r>
      <w:r>
        <w:rPr>
          <w:rFonts w:hint="default" w:ascii="Times New Roman" w:hAnsi="Times New Roman" w:eastAsia="Times New Roman" w:cs="Times New Roman"/>
          <w:color w:val="000000"/>
          <w:sz w:val="24"/>
          <w:szCs w:val="24"/>
        </w:rPr>
        <w:t>/202</w:t>
      </w:r>
      <w:r>
        <w:rPr>
          <w:rFonts w:hint="default" w:ascii="Times New Roman" w:hAnsi="Times New Roman" w:eastAsia="Times New Roman" w:cs="Times New Roman"/>
          <w:color w:val="000000"/>
          <w:sz w:val="24"/>
          <w:szCs w:val="24"/>
          <w:lang w:val="en-US"/>
        </w:rPr>
        <w:t>5</w:t>
      </w:r>
    </w:p>
    <w:p w14:paraId="5064B150">
      <w:pPr>
        <w:spacing w:after="20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000000"/>
          <w:sz w:val="24"/>
          <w:szCs w:val="24"/>
        </w:rPr>
        <w:t>Statement on Plagiarism, Collusion &amp; Academic Incompetence</w:t>
      </w:r>
    </w:p>
    <w:p w14:paraId="41F32F37">
      <w:pPr>
        <w:spacing w:after="20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 xml:space="preserve">The University unequivocally condemns plagiarism, which it considers to be comparable to falsifying data and cheating in an examination, and warns students that the Academic Board looks gravely upon incidents of plagiarism. </w:t>
      </w:r>
      <w:r>
        <w:rPr>
          <w:rFonts w:hint="default" w:ascii="Times New Roman" w:hAnsi="Times New Roman" w:eastAsia="Times New Roman" w:cs="Times New Roman"/>
          <w:b/>
          <w:bCs/>
          <w:i/>
          <w:iCs/>
          <w:color w:val="000000"/>
          <w:sz w:val="24"/>
          <w:szCs w:val="24"/>
        </w:rPr>
        <w:t>Such incidents are classed as Academic Misconduct which results into a student getting a zero grade.</w:t>
      </w:r>
    </w:p>
    <w:p w14:paraId="29673310">
      <w:pPr>
        <w:spacing w:after="200" w:line="24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I,</w:t>
      </w:r>
      <w:r>
        <w:rPr>
          <w:rFonts w:hint="default" w:ascii="Times New Roman" w:hAnsi="Times New Roman" w:eastAsia="Times New Roman" w:cs="Times New Roman"/>
          <w:color w:val="000000"/>
          <w:sz w:val="24"/>
          <w:szCs w:val="24"/>
          <w:lang w:val="en-US"/>
        </w:rPr>
        <w:t>BERTHA ZAMBASA</w:t>
      </w: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b/>
          <w:bCs/>
          <w:color w:val="000000"/>
          <w:sz w:val="24"/>
          <w:szCs w:val="24"/>
        </w:rPr>
        <w:t xml:space="preserve">DECLARE </w:t>
      </w:r>
      <w:r>
        <w:rPr>
          <w:rFonts w:hint="default" w:ascii="Times New Roman" w:hAnsi="Times New Roman" w:eastAsia="Times New Roman" w:cs="Times New Roman"/>
          <w:color w:val="000000"/>
          <w:sz w:val="24"/>
          <w:szCs w:val="24"/>
        </w:rPr>
        <w:t>that this work is FREE of plagiarism otherwise I will face consequences thereof if discovered that this work is not supported by proper Harvard referencing and merely a ‘cut &amp; paste’.</w:t>
      </w:r>
    </w:p>
    <w:p w14:paraId="771EBDBB">
      <w:pPr>
        <w:spacing w:after="200" w:line="240" w:lineRule="auto"/>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color w:val="000000"/>
          <w:sz w:val="24"/>
          <w:szCs w:val="24"/>
        </w:rPr>
        <w:t>Signed…</w:t>
      </w:r>
      <w:r>
        <w:rPr>
          <w:rFonts w:hint="default" w:ascii="Times New Roman" w:hAnsi="Times New Roman" w:eastAsia="Times New Roman" w:cs="Times New Roman"/>
          <w:color w:val="000000"/>
          <w:sz w:val="24"/>
          <w:szCs w:val="24"/>
          <w:lang w:val="en-US"/>
        </w:rPr>
        <w:t>B.Zambasa</w:t>
      </w:r>
      <w:r>
        <w:rPr>
          <w:rFonts w:hint="default" w:ascii="Times New Roman" w:hAnsi="Times New Roman" w:eastAsia="Times New Roman" w:cs="Times New Roman"/>
          <w:color w:val="000000"/>
          <w:sz w:val="24"/>
          <w:szCs w:val="24"/>
        </w:rPr>
        <w:t>………………………………………. Date: 1</w:t>
      </w:r>
      <w:r>
        <w:rPr>
          <w:rFonts w:hint="default" w:ascii="Times New Roman" w:hAnsi="Times New Roman" w:eastAsia="Times New Roman" w:cs="Times New Roman"/>
          <w:color w:val="000000"/>
          <w:sz w:val="24"/>
          <w:szCs w:val="24"/>
          <w:lang w:val="en-US"/>
        </w:rPr>
        <w:t>5</w:t>
      </w:r>
      <w:r>
        <w:rPr>
          <w:rFonts w:hint="default" w:ascii="Times New Roman" w:hAnsi="Times New Roman" w:eastAsia="Times New Roman" w:cs="Times New Roman"/>
          <w:color w:val="000000"/>
          <w:sz w:val="24"/>
          <w:szCs w:val="24"/>
        </w:rPr>
        <w:t>/0</w:t>
      </w:r>
      <w:r>
        <w:rPr>
          <w:rFonts w:hint="default" w:ascii="Times New Roman" w:hAnsi="Times New Roman" w:eastAsia="Times New Roman" w:cs="Times New Roman"/>
          <w:color w:val="000000"/>
          <w:sz w:val="24"/>
          <w:szCs w:val="24"/>
          <w:lang w:val="en-US"/>
        </w:rPr>
        <w:t>3</w:t>
      </w:r>
      <w:r>
        <w:rPr>
          <w:rFonts w:hint="default" w:ascii="Times New Roman" w:hAnsi="Times New Roman" w:eastAsia="Times New Roman" w:cs="Times New Roman"/>
          <w:color w:val="000000"/>
          <w:sz w:val="24"/>
          <w:szCs w:val="24"/>
        </w:rPr>
        <w:t>/202</w:t>
      </w:r>
      <w:r>
        <w:rPr>
          <w:rFonts w:hint="default" w:ascii="Times New Roman" w:hAnsi="Times New Roman" w:eastAsia="Times New Roman" w:cs="Times New Roman"/>
          <w:color w:val="000000"/>
          <w:sz w:val="24"/>
          <w:szCs w:val="24"/>
          <w:lang w:val="en-US"/>
        </w:rPr>
        <w:t>5</w:t>
      </w:r>
    </w:p>
    <w:p w14:paraId="7161B5BA">
      <w:pPr>
        <w:spacing w:after="200" w:line="240" w:lineRule="auto"/>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FF0000"/>
          <w:sz w:val="24"/>
          <w:szCs w:val="24"/>
        </w:rPr>
        <w:t>For Lecturer’s use only – Marking Guide</w:t>
      </w:r>
    </w:p>
    <w:tbl>
      <w:tblPr>
        <w:tblStyle w:val="5"/>
        <w:tblW w:w="0" w:type="auto"/>
        <w:tblInd w:w="0" w:type="dxa"/>
        <w:tblLayout w:type="autofit"/>
        <w:tblCellMar>
          <w:top w:w="0" w:type="dxa"/>
          <w:left w:w="108" w:type="dxa"/>
          <w:bottom w:w="0" w:type="dxa"/>
          <w:right w:w="108" w:type="dxa"/>
        </w:tblCellMar>
      </w:tblPr>
      <w:tblGrid>
        <w:gridCol w:w="5534"/>
        <w:gridCol w:w="1763"/>
        <w:gridCol w:w="1573"/>
      </w:tblGrid>
      <w:tr w14:paraId="754821D6">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4C859815">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000000"/>
                <w:sz w:val="24"/>
                <w:szCs w:val="24"/>
              </w:rPr>
              <w:t>Descriptor</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3C282CAE">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000000"/>
                <w:sz w:val="24"/>
                <w:szCs w:val="24"/>
              </w:rPr>
              <w:t>% Mark Range</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6C46DAE3">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b/>
                <w:bCs/>
                <w:color w:val="000000"/>
                <w:sz w:val="24"/>
                <w:szCs w:val="24"/>
              </w:rPr>
              <w:t>Student Mark</w:t>
            </w:r>
          </w:p>
        </w:tc>
      </w:tr>
      <w:tr w14:paraId="601376AF">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6B46F3D1">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Work of excellent quality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1C049A7B">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90-100 % A+</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77A71667">
            <w:pPr>
              <w:spacing w:line="256" w:lineRule="auto"/>
              <w:rPr>
                <w:rFonts w:hint="default" w:ascii="Times New Roman" w:hAnsi="Times New Roman" w:eastAsia="Times New Roman" w:cs="Times New Roman"/>
                <w:sz w:val="24"/>
                <w:szCs w:val="24"/>
              </w:rPr>
            </w:pPr>
          </w:p>
        </w:tc>
      </w:tr>
      <w:tr w14:paraId="6EB19227">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65BD0EC8">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Work of very good quality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20ED0E7C">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75-89   % A</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4151803E">
            <w:pPr>
              <w:spacing w:line="256" w:lineRule="auto"/>
              <w:rPr>
                <w:rFonts w:hint="default" w:ascii="Times New Roman" w:hAnsi="Times New Roman" w:eastAsia="Times New Roman" w:cs="Times New Roman"/>
                <w:sz w:val="24"/>
                <w:szCs w:val="24"/>
              </w:rPr>
            </w:pPr>
          </w:p>
        </w:tc>
      </w:tr>
      <w:tr w14:paraId="0E36E4DA">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2D40D4E2">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Work of good quality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2B33BF8A">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65-74   % B</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7B47D803">
            <w:pPr>
              <w:spacing w:line="256" w:lineRule="auto"/>
              <w:rPr>
                <w:rFonts w:hint="default" w:ascii="Times New Roman" w:hAnsi="Times New Roman" w:eastAsia="Times New Roman" w:cs="Times New Roman"/>
                <w:sz w:val="24"/>
                <w:szCs w:val="24"/>
              </w:rPr>
            </w:pPr>
          </w:p>
        </w:tc>
      </w:tr>
      <w:tr w14:paraId="33F98A67">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6AF6391D">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Work of fair but below average quality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2F9F70A">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50-64   % C</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4A86E484">
            <w:pPr>
              <w:spacing w:line="256" w:lineRule="auto"/>
              <w:rPr>
                <w:rFonts w:hint="default" w:ascii="Times New Roman" w:hAnsi="Times New Roman" w:eastAsia="Times New Roman" w:cs="Times New Roman"/>
                <w:sz w:val="24"/>
                <w:szCs w:val="24"/>
              </w:rPr>
            </w:pPr>
          </w:p>
        </w:tc>
      </w:tr>
      <w:tr w14:paraId="278DAF27">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73F51DC">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Work of marginal quality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2334207E">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40-49   % D</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21CF44C3">
            <w:pPr>
              <w:spacing w:line="256" w:lineRule="auto"/>
              <w:rPr>
                <w:rFonts w:hint="default" w:ascii="Times New Roman" w:hAnsi="Times New Roman" w:eastAsia="Times New Roman" w:cs="Times New Roman"/>
                <w:sz w:val="24"/>
                <w:szCs w:val="24"/>
              </w:rPr>
            </w:pPr>
          </w:p>
        </w:tc>
      </w:tr>
      <w:tr w14:paraId="517B666D">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1853B7F">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Unsatisfactory, failing work</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6F481FD2">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0-39     % E</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3CF9AD55">
            <w:pPr>
              <w:spacing w:line="256" w:lineRule="auto"/>
              <w:rPr>
                <w:rFonts w:hint="default" w:ascii="Times New Roman" w:hAnsi="Times New Roman" w:eastAsia="Times New Roman" w:cs="Times New Roman"/>
                <w:sz w:val="24"/>
                <w:szCs w:val="24"/>
              </w:rPr>
            </w:pPr>
          </w:p>
        </w:tc>
      </w:tr>
      <w:tr w14:paraId="2D253A2A">
        <w:tblPrEx>
          <w:tblCellMar>
            <w:top w:w="0" w:type="dxa"/>
            <w:left w:w="108" w:type="dxa"/>
            <w:bottom w:w="0" w:type="dxa"/>
            <w:right w:w="108" w:type="dxa"/>
          </w:tblCellMar>
        </w:tblPrEx>
        <w:trPr>
          <w:trHeight w:val="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615478E">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Unjustified absence or failure to hand in assigned work in time</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7966D1E6">
            <w:pPr>
              <w:spacing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color w:val="000000"/>
                <w:sz w:val="24"/>
                <w:szCs w:val="24"/>
              </w:rPr>
              <w:t>  0             R</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788F510C">
            <w:pPr>
              <w:spacing w:line="256" w:lineRule="auto"/>
              <w:rPr>
                <w:rFonts w:hint="default" w:ascii="Times New Roman" w:hAnsi="Times New Roman" w:eastAsia="Times New Roman" w:cs="Times New Roman"/>
                <w:sz w:val="24"/>
                <w:szCs w:val="24"/>
              </w:rPr>
            </w:pPr>
          </w:p>
        </w:tc>
      </w:tr>
      <w:bookmarkEnd w:id="0"/>
    </w:tbl>
    <w:p w14:paraId="294284D8">
      <w:pPr>
        <w:pStyle w:val="2"/>
        <w:rPr>
          <w:rFonts w:hint="default" w:ascii="Times New Roman" w:hAnsi="Times New Roman" w:cs="Times New Roman"/>
          <w:color w:val="0000FF"/>
          <w:sz w:val="24"/>
          <w:szCs w:val="24"/>
        </w:rPr>
      </w:pPr>
    </w:p>
    <w:p w14:paraId="046EA7B5">
      <w:pPr>
        <w:rPr>
          <w:rFonts w:hint="default" w:ascii="Times New Roman" w:hAnsi="Times New Roman" w:cs="Times New Roman"/>
          <w:sz w:val="24"/>
          <w:szCs w:val="24"/>
        </w:rPr>
      </w:pPr>
      <w:r>
        <w:rPr>
          <w:rFonts w:hint="default" w:ascii="Times New Roman" w:hAnsi="Times New Roman" w:cs="Times New Roman"/>
          <w:sz w:val="24"/>
          <w:szCs w:val="24"/>
        </w:rPr>
        <w:t xml:space="preserve">Food safety is a critical aspect of public health, requiring comprehensive measures to ensure that food products are safe for consumption. The World Health Organization (WHO) estimates that </w:t>
      </w:r>
      <w:r>
        <w:rPr>
          <w:rFonts w:hint="default" w:ascii="Times New Roman" w:hAnsi="Times New Roman" w:cs="Times New Roman"/>
          <w:sz w:val="24"/>
          <w:szCs w:val="24"/>
          <w:lang w:val="en-US"/>
        </w:rPr>
        <w:t>food-borne</w:t>
      </w:r>
      <w:r>
        <w:rPr>
          <w:rFonts w:hint="default" w:ascii="Times New Roman" w:hAnsi="Times New Roman" w:cs="Times New Roman"/>
          <w:sz w:val="24"/>
          <w:szCs w:val="24"/>
        </w:rPr>
        <w:t xml:space="preserve"> illnesses affect millions globally, causing significant morbidity and mortality (World Health Organization, 2018). To address these concerns, the risk analysis framework—comprising risk assessment, risk management, and risk communication—has been widely adopted by food safety authorities and regulatory bodies</w:t>
      </w:r>
      <w:r>
        <w:rPr>
          <w:rFonts w:hint="default" w:ascii="Times New Roman" w:hAnsi="Times New Roman" w:cs="Times New Roman"/>
          <w:sz w:val="24"/>
          <w:szCs w:val="24"/>
          <w:lang w:val="en-US"/>
        </w:rPr>
        <w:t xml:space="preserve"> like food and drug administration in the united states and Malawi Bureau.  Of standards here in Malawi in conjunction with the ministry of health.</w:t>
      </w:r>
      <w:r>
        <w:rPr>
          <w:rFonts w:hint="default" w:ascii="Times New Roman" w:hAnsi="Times New Roman" w:cs="Times New Roman"/>
          <w:sz w:val="24"/>
          <w:szCs w:val="24"/>
        </w:rPr>
        <w:t>These three components work together to identify, evaluate, and mitigate risks associated with food hazards.</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This </w:t>
      </w:r>
      <w:r>
        <w:rPr>
          <w:rFonts w:hint="default" w:ascii="Times New Roman" w:hAnsi="Times New Roman" w:cs="Times New Roman"/>
          <w:sz w:val="24"/>
          <w:szCs w:val="24"/>
          <w:lang w:val="en-US"/>
        </w:rPr>
        <w:t xml:space="preserve">essay </w:t>
      </w:r>
      <w:r>
        <w:rPr>
          <w:rFonts w:hint="default" w:ascii="Times New Roman" w:hAnsi="Times New Roman" w:cs="Times New Roman"/>
          <w:sz w:val="24"/>
          <w:szCs w:val="24"/>
        </w:rPr>
        <w:t>explores the roles of risk assessment, risk management, and risk communication in ensuring food safety and public health.</w:t>
      </w:r>
    </w:p>
    <w:p w14:paraId="4B3E3348">
      <w:pPr>
        <w:rPr>
          <w:rFonts w:hint="default" w:ascii="Times New Roman" w:hAnsi="Times New Roman" w:cs="Times New Roman"/>
          <w:sz w:val="24"/>
          <w:szCs w:val="24"/>
          <w:lang w:val="en-US"/>
        </w:rPr>
      </w:pPr>
      <w:r>
        <w:rPr>
          <w:rFonts w:hint="default" w:ascii="Times New Roman" w:hAnsi="Times New Roman" w:cs="Times New Roman"/>
          <w:sz w:val="24"/>
          <w:szCs w:val="24"/>
        </w:rPr>
        <w:t>Risk assessmen</w:t>
      </w:r>
      <w:r>
        <w:rPr>
          <w:rFonts w:hint="default" w:ascii="Times New Roman" w:hAnsi="Times New Roman" w:cs="Times New Roman"/>
          <w:sz w:val="24"/>
          <w:szCs w:val="24"/>
          <w:lang w:val="en-US"/>
        </w:rPr>
        <w:t xml:space="preserve">t is the process of identifying, analyzing and evaluating potential risks that could negatively affect people, assets,operations or the environment(Aven,2015).in food safety risk assessment </w:t>
      </w:r>
      <w:r>
        <w:rPr>
          <w:rFonts w:hint="default" w:ascii="Times New Roman" w:hAnsi="Times New Roman" w:cs="Times New Roman"/>
          <w:sz w:val="24"/>
          <w:szCs w:val="24"/>
        </w:rPr>
        <w:t xml:space="preserve"> is the scientific evaluation of potential health hazards in food. It involves hazard identification, hazard characterization, exposure assessment, and risk characterization (Attrey, 2017).</w:t>
      </w:r>
      <w:r>
        <w:rPr>
          <w:rFonts w:hint="default" w:ascii="Times New Roman" w:hAnsi="Times New Roman" w:cs="Times New Roman"/>
          <w:sz w:val="24"/>
          <w:szCs w:val="24"/>
          <w:lang w:val="en-US"/>
        </w:rPr>
        <w:t>Failure to asses food for safety and reporting accordingly to authorities results into many serious problems including putting health of many at risk of food-borne diseases which can be fatal if not attended to timely.</w:t>
      </w:r>
    </w:p>
    <w:p w14:paraId="674ABD1D">
      <w:pPr>
        <w:rPr>
          <w:rFonts w:hint="default" w:ascii="Times New Roman" w:hAnsi="Times New Roman" w:cs="Times New Roman"/>
          <w:sz w:val="24"/>
          <w:szCs w:val="24"/>
          <w:lang w:val="en-US"/>
        </w:rPr>
      </w:pPr>
      <w:r>
        <w:rPr>
          <w:rFonts w:hint="default" w:ascii="Times New Roman" w:hAnsi="Times New Roman" w:cs="Times New Roman"/>
          <w:sz w:val="24"/>
          <w:szCs w:val="24"/>
        </w:rPr>
        <w:t>Hazard identification involves detecting biological, chemical, and physical agents that may cause adverse health effects. For instance, pathogenic microorganisms such as Salmonella, Listeria monocytogenes, and Escherichia coli pose significant risks in food products (Kasza et al., 2022).</w:t>
      </w:r>
      <w:r>
        <w:rPr>
          <w:rFonts w:hint="default" w:ascii="Times New Roman" w:hAnsi="Times New Roman" w:cs="Times New Roman"/>
          <w:sz w:val="24"/>
          <w:szCs w:val="24"/>
          <w:lang w:val="en-US"/>
        </w:rPr>
        <w:t>chemical contaminants like pesticide residues,heavy metal and food additives must also be assessed  for their  potential health implications.</w:t>
      </w:r>
      <w:r>
        <w:rPr>
          <w:rFonts w:hint="default" w:ascii="Times New Roman" w:hAnsi="Times New Roman" w:cs="Times New Roman"/>
          <w:sz w:val="24"/>
          <w:szCs w:val="24"/>
        </w:rPr>
        <w:t>Hazard characterization</w:t>
      </w:r>
      <w:r>
        <w:rPr>
          <w:rFonts w:hint="default" w:ascii="Times New Roman" w:hAnsi="Times New Roman" w:cs="Times New Roman"/>
          <w:sz w:val="24"/>
          <w:szCs w:val="24"/>
          <w:lang w:val="en-US"/>
        </w:rPr>
        <w:t xml:space="preserve"> follows which</w:t>
      </w:r>
      <w:r>
        <w:rPr>
          <w:rFonts w:hint="default" w:ascii="Times New Roman" w:hAnsi="Times New Roman" w:cs="Times New Roman"/>
          <w:sz w:val="24"/>
          <w:szCs w:val="24"/>
        </w:rPr>
        <w:t xml:space="preserve"> determines the severity and nature of adverse health effects resulting from exposure to identified hazards. This step involves toxicological and epidemiological studies to establish dose-response relationships.Exposure assessment estimates the levels of hazard intake by different population groups.</w:t>
      </w:r>
      <w:r>
        <w:rPr>
          <w:rFonts w:hint="default" w:ascii="Times New Roman" w:hAnsi="Times New Roman" w:cs="Times New Roman"/>
          <w:sz w:val="24"/>
          <w:szCs w:val="24"/>
          <w:lang w:val="en-US"/>
        </w:rPr>
        <w:t>for example   chronic exposure to AFLATOXINS , a  class of  mycotoxins ,has been linked to liver cancer (WHO,2018).understanding these effects holistically is critical in setting safe consumption levels.</w:t>
      </w:r>
    </w:p>
    <w:p w14:paraId="73CD05DB">
      <w:pPr>
        <w:rPr>
          <w:rFonts w:hint="default" w:ascii="Times New Roman" w:hAnsi="Times New Roman" w:cs="Times New Roman"/>
          <w:sz w:val="24"/>
          <w:szCs w:val="24"/>
          <w:lang w:val="en-US"/>
        </w:rPr>
      </w:pPr>
      <w:r>
        <w:rPr>
          <w:rFonts w:hint="default" w:ascii="Times New Roman" w:hAnsi="Times New Roman" w:cs="Times New Roman"/>
          <w:sz w:val="24"/>
          <w:szCs w:val="24"/>
        </w:rPr>
        <w:t>Risk characterization integrates data from previous steps to provide an overall assessment of the probability and severity of adverse effects.</w:t>
      </w:r>
      <w:r>
        <w:rPr>
          <w:rFonts w:hint="default" w:ascii="Times New Roman" w:hAnsi="Times New Roman" w:cs="Times New Roman"/>
          <w:sz w:val="24"/>
          <w:szCs w:val="24"/>
          <w:lang w:val="en-US"/>
        </w:rPr>
        <w:t>this in turn helps the policymakers and food safety authorities like Malawi bureau  of standards make informed decisions.quantitative risk assessment models help predict the likelihood of food-borne illnesses and outbreaks guiding intervention strategies (Kasza et al,2022).</w:t>
      </w:r>
    </w:p>
    <w:p w14:paraId="158D58B7">
      <w:pPr>
        <w:rPr>
          <w:rFonts w:hint="default" w:ascii="Times New Roman" w:hAnsi="Times New Roman" w:cs="Times New Roman"/>
          <w:sz w:val="24"/>
          <w:szCs w:val="24"/>
          <w:lang w:val="en-US"/>
        </w:rPr>
      </w:pPr>
      <w:r>
        <w:rPr>
          <w:rFonts w:hint="default" w:ascii="Times New Roman" w:hAnsi="Times New Roman" w:cs="Times New Roman"/>
          <w:sz w:val="24"/>
          <w:szCs w:val="24"/>
        </w:rPr>
        <w:t>Risk management involves the development and implementation of strategies to control identified food safety hazards.</w:t>
      </w:r>
      <w:r>
        <w:rPr>
          <w:rFonts w:hint="default" w:ascii="Times New Roman" w:hAnsi="Times New Roman" w:cs="Times New Roman"/>
          <w:sz w:val="24"/>
          <w:szCs w:val="24"/>
          <w:lang w:val="en-US"/>
        </w:rPr>
        <w:t xml:space="preserve">this process ensures that food production, processing and distribution meet safety standards (Attrey,2017). effective risk management relies on stringent food safety regulations and frameworks.organizations like Malawi bureau of standards,WHO, Food and agriculture organization(FAO) and codex alimentarius commission provide guidelines for food safety standards  locally and globally which are enforced by agencies like food and drug administration (FDA)in the us and European food safety authority (EFSA)(WHO,2018).Food manufactures implement the GOOD MANUFACTURING PRACTICES(GMP)to avoid contamination during production. Regular  monitoring of food products ensures compliance with safety standards. Surveillance programs track food-borne illnesses and contamination trends.according to Taulo et al.(2008) inadequate surveillance in developing countries contributes to the high incidences of food-borne diseases. </w:t>
      </w:r>
    </w:p>
    <w:p w14:paraId="031579F1">
      <w:pPr>
        <w:rPr>
          <w:rFonts w:hint="default" w:ascii="Times New Roman" w:hAnsi="Times New Roman" w:cs="Times New Roman"/>
          <w:sz w:val="24"/>
          <w:szCs w:val="24"/>
          <w:lang w:val="en-US"/>
        </w:rPr>
      </w:pPr>
      <w:r>
        <w:rPr>
          <w:rFonts w:hint="default" w:ascii="Times New Roman" w:hAnsi="Times New Roman" w:cs="Times New Roman"/>
          <w:sz w:val="24"/>
          <w:szCs w:val="24"/>
        </w:rPr>
        <w:t>Risk communication is the exchange of information between stakeholders, including government agencies, food industry professionals, scientists, and consumers.</w:t>
      </w:r>
      <w:r>
        <w:rPr>
          <w:rFonts w:hint="default" w:ascii="Times New Roman" w:hAnsi="Times New Roman" w:cs="Times New Roman"/>
          <w:sz w:val="24"/>
          <w:szCs w:val="24"/>
          <w:lang w:val="en-US"/>
        </w:rPr>
        <w:t>Effective communication ensures  transparency and builds trust in the public when it comes to food safety measures.(Attrey,2017)this includes public awareness campaigns,transparency in food safety policies,social media and digital communication taking at hand the advancement of the technology in the times we are living in.this boosts the consumer confidence and influence behavior changes when it comes to health eating decisions  for example labeling of food contains, ingredients,allergens warnings and expiry dates.</w:t>
      </w:r>
    </w:p>
    <w:p w14:paraId="70A2E4E0">
      <w:pPr>
        <w:pStyle w:val="6"/>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Despite advancements, several challenges persist in ensuring food safety, including scientific uncertainty, globalization, limited resources, and public mistrust.</w:t>
      </w:r>
      <w:r>
        <w:rPr>
          <w:rFonts w:hint="default" w:ascii="Times New Roman" w:hAnsi="Times New Roman" w:eastAsia="Symbol" w:cs="Times New Roman"/>
          <w:sz w:val="24"/>
          <w:szCs w:val="24"/>
        </w:rPr>
        <w:t>·</w:t>
      </w:r>
      <w:r>
        <w:rPr>
          <w:rFonts w:hint="default" w:ascii="Times New Roman" w:hAnsi="Times New Roman" w:eastAsia="SimSun" w:cs="Times New Roman"/>
          <w:sz w:val="24"/>
          <w:szCs w:val="24"/>
        </w:rPr>
        <w:t xml:space="preserve">  </w:t>
      </w:r>
      <w:r>
        <w:rPr>
          <w:rStyle w:val="7"/>
          <w:rFonts w:hint="default" w:ascii="Times New Roman" w:hAnsi="Times New Roman" w:cs="Times New Roman"/>
          <w:sz w:val="24"/>
          <w:szCs w:val="24"/>
        </w:rPr>
        <w:t xml:space="preserve">Public </w:t>
      </w:r>
      <w:r>
        <w:rPr>
          <w:rStyle w:val="7"/>
          <w:rFonts w:hint="default" w:ascii="Times New Roman" w:hAnsi="Times New Roman" w:cs="Times New Roman"/>
          <w:b w:val="0"/>
          <w:bCs w:val="0"/>
          <w:sz w:val="24"/>
          <w:szCs w:val="24"/>
        </w:rPr>
        <w:t>Misinformation and Skepticism</w:t>
      </w:r>
      <w:r>
        <w:rPr>
          <w:rStyle w:val="7"/>
          <w:rFonts w:hint="default" w:ascii="Times New Roman" w:hAnsi="Times New Roman" w:cs="Times New Roman"/>
          <w:b w:val="0"/>
          <w:bCs w:val="0"/>
          <w:sz w:val="24"/>
          <w:szCs w:val="24"/>
          <w:lang w:val="en-US"/>
        </w:rPr>
        <w:t xml:space="preserve"> </w:t>
      </w:r>
      <w:r>
        <w:rPr>
          <w:rFonts w:hint="default" w:ascii="Times New Roman" w:hAnsi="Times New Roman" w:cs="Times New Roman"/>
          <w:sz w:val="24"/>
          <w:szCs w:val="24"/>
        </w:rPr>
        <w:t>Social media has increased the spread of misinformation, making it harder for consumers to distinguish between credible and false food safety claims (Kasza et al., 2022).</w:t>
      </w:r>
    </w:p>
    <w:p w14:paraId="27ED1632">
      <w:pPr>
        <w:pStyle w:val="6"/>
        <w:keepNext w:val="0"/>
        <w:keepLines w:val="0"/>
        <w:widowControl/>
        <w:suppressLineNumbers w:val="0"/>
        <w:spacing w:before="0" w:beforeAutospacing="1" w:after="0" w:afterAutospacing="1"/>
        <w:ind w:right="0"/>
        <w:rPr>
          <w:rFonts w:hint="default" w:ascii="Times New Roman" w:hAnsi="Times New Roman" w:cs="Times New Roman"/>
          <w:sz w:val="24"/>
          <w:szCs w:val="24"/>
        </w:rPr>
      </w:pPr>
      <w:r>
        <w:rPr>
          <w:rStyle w:val="7"/>
          <w:rFonts w:hint="default" w:ascii="Times New Roman" w:hAnsi="Times New Roman" w:cs="Times New Roman"/>
          <w:b w:val="0"/>
          <w:bCs w:val="0"/>
          <w:sz w:val="24"/>
          <w:szCs w:val="24"/>
        </w:rPr>
        <w:t>Lack of Standardized Communication Strategies</w:t>
      </w:r>
      <w:r>
        <w:rPr>
          <w:rStyle w:val="7"/>
          <w:rFonts w:hint="default" w:ascii="Times New Roman" w:hAnsi="Times New Roman" w:cs="Times New Roman"/>
          <w:b w:val="0"/>
          <w:bCs w:val="0"/>
          <w:sz w:val="24"/>
          <w:szCs w:val="24"/>
          <w:lang w:val="en-US"/>
        </w:rPr>
        <w:t>.</w:t>
      </w:r>
      <w:r>
        <w:rPr>
          <w:rFonts w:hint="default" w:ascii="Times New Roman" w:hAnsi="Times New Roman" w:cs="Times New Roman"/>
          <w:sz w:val="24"/>
          <w:szCs w:val="24"/>
        </w:rPr>
        <w:t>Different countries have varying risk communication approaches, leading to inconsistencies in global food safety messaging (Taulo et al., 2008).</w:t>
      </w:r>
    </w:p>
    <w:p w14:paraId="1ED87482">
      <w:pPr>
        <w:pStyle w:val="6"/>
        <w:keepNext w:val="0"/>
        <w:keepLines w:val="0"/>
        <w:widowControl/>
        <w:suppressLineNumbers w:val="0"/>
        <w:spacing w:before="0" w:beforeAutospacing="1" w:after="0" w:afterAutospacing="1"/>
        <w:ind w:right="0"/>
        <w:rPr>
          <w:rFonts w:hint="default" w:ascii="Times New Roman" w:hAnsi="Times New Roman" w:cs="Times New Roman"/>
          <w:sz w:val="24"/>
          <w:szCs w:val="24"/>
        </w:rPr>
      </w:pPr>
      <w:r>
        <w:rPr>
          <w:rStyle w:val="7"/>
          <w:rFonts w:hint="default" w:ascii="Times New Roman" w:hAnsi="Times New Roman" w:cs="Times New Roman"/>
          <w:b w:val="0"/>
          <w:bCs w:val="0"/>
          <w:sz w:val="24"/>
          <w:szCs w:val="24"/>
        </w:rPr>
        <w:t>Complexity of Scientific Dat</w:t>
      </w:r>
      <w:r>
        <w:rPr>
          <w:rStyle w:val="7"/>
          <w:rFonts w:hint="default" w:ascii="Times New Roman" w:hAnsi="Times New Roman" w:cs="Times New Roman"/>
          <w:b w:val="0"/>
          <w:bCs w:val="0"/>
          <w:sz w:val="24"/>
          <w:szCs w:val="24"/>
          <w:lang w:val="en-US"/>
        </w:rPr>
        <w:t>a</w:t>
      </w:r>
      <w:r>
        <w:rPr>
          <w:rFonts w:hint="default" w:ascii="Times New Roman" w:hAnsi="Times New Roman" w:cs="Times New Roman"/>
          <w:sz w:val="24"/>
          <w:szCs w:val="24"/>
        </w:rPr>
        <w:t>Translating technical scientific assessments into simple messages that the general public can understand remains a challenge (Attrey, 2017).</w:t>
      </w:r>
    </w:p>
    <w:p w14:paraId="07C5F537">
      <w:pPr>
        <w:pStyle w:val="6"/>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Style w:val="7"/>
          <w:rFonts w:hint="default" w:ascii="Times New Roman" w:hAnsi="Times New Roman" w:cs="Times New Roman"/>
          <w:b w:val="0"/>
          <w:bCs w:val="0"/>
          <w:sz w:val="24"/>
          <w:szCs w:val="24"/>
        </w:rPr>
        <w:t>Emerging Food Safety Threats</w:t>
      </w:r>
      <w:r>
        <w:rPr>
          <w:rFonts w:hint="default" w:ascii="Times New Roman" w:hAnsi="Times New Roman" w:eastAsia="SimSun" w:cs="Times New Roman"/>
          <w:sz w:val="24"/>
          <w:szCs w:val="24"/>
        </w:rPr>
        <w:t xml:space="preserve"> </w:t>
      </w:r>
      <w:r>
        <w:rPr>
          <w:rFonts w:hint="default" w:ascii="Times New Roman" w:hAnsi="Times New Roman" w:cs="Times New Roman"/>
          <w:sz w:val="24"/>
          <w:szCs w:val="24"/>
        </w:rPr>
        <w:t>Climate change and globalization introduce new risks that require continuous updates in risk assessment models and communication strategies (WHO, 2018).</w:t>
      </w:r>
    </w:p>
    <w:p w14:paraId="69E36751">
      <w:pPr>
        <w:spacing w:line="360" w:lineRule="auto"/>
        <w:rPr>
          <w:rFonts w:hint="default" w:ascii="Times New Roman" w:hAnsi="Times New Roman" w:cs="Times New Roman"/>
          <w:b w:val="0"/>
          <w:bCs w:val="0"/>
          <w:sz w:val="24"/>
          <w:szCs w:val="24"/>
        </w:rPr>
      </w:pPr>
      <w:bookmarkStart w:id="1" w:name="_GoBack"/>
      <w:bookmarkEnd w:id="1"/>
      <w:r>
        <w:rPr>
          <w:rFonts w:hint="default" w:ascii="Times New Roman" w:hAnsi="Times New Roman" w:cs="Times New Roman"/>
          <w:sz w:val="24"/>
          <w:szCs w:val="24"/>
        </w:rPr>
        <w:t xml:space="preserve">Risk assessment, risk management, and risk communication are essential pillars of food safety and public </w:t>
      </w:r>
      <w:r>
        <w:rPr>
          <w:rFonts w:hint="default" w:ascii="Times New Roman" w:hAnsi="Times New Roman" w:cs="Times New Roman"/>
          <w:sz w:val="24"/>
          <w:szCs w:val="24"/>
          <w:lang w:val="en-US"/>
        </w:rPr>
        <w:t>health.They remain</w:t>
      </w:r>
      <w:r>
        <w:rPr>
          <w:rFonts w:hint="default" w:ascii="Times New Roman" w:hAnsi="Times New Roman" w:eastAsia="SimSun" w:cs="Times New Roman"/>
          <w:b w:val="0"/>
          <w:bCs w:val="0"/>
          <w:sz w:val="24"/>
          <w:szCs w:val="24"/>
        </w:rPr>
        <w:t xml:space="preserve"> fundamental to ensuring food safety and protecting public health. While risk assessment provides scientific insights into </w:t>
      </w:r>
      <w:r>
        <w:rPr>
          <w:rFonts w:hint="default" w:ascii="Times New Roman" w:hAnsi="Times New Roman" w:eastAsia="SimSun" w:cs="Times New Roman"/>
          <w:b w:val="0"/>
          <w:bCs w:val="0"/>
          <w:sz w:val="24"/>
          <w:szCs w:val="24"/>
          <w:lang w:val="en-US"/>
        </w:rPr>
        <w:t>food-borne</w:t>
      </w:r>
      <w:r>
        <w:rPr>
          <w:rFonts w:hint="default" w:ascii="Times New Roman" w:hAnsi="Times New Roman" w:eastAsia="SimSun" w:cs="Times New Roman"/>
          <w:b w:val="0"/>
          <w:bCs w:val="0"/>
          <w:sz w:val="24"/>
          <w:szCs w:val="24"/>
        </w:rPr>
        <w:t xml:space="preserve"> hazards, risk communication ensures that these findings are understood and acted upon by consumers and stakeholders. Despite challenges such as misinformation and regulatory inconsistencies, advancements in technology and international cooperation can enhance food safety systems. By continuously improving risk assessment methodologies and communication strategies, food safety agencies can better protect populations from </w:t>
      </w:r>
      <w:r>
        <w:rPr>
          <w:rFonts w:hint="default" w:ascii="Times New Roman" w:hAnsi="Times New Roman" w:eastAsia="SimSun" w:cs="Times New Roman"/>
          <w:b w:val="0"/>
          <w:bCs w:val="0"/>
          <w:sz w:val="24"/>
          <w:szCs w:val="24"/>
          <w:lang w:val="en-US"/>
        </w:rPr>
        <w:t>food-borne</w:t>
      </w:r>
      <w:r>
        <w:rPr>
          <w:rFonts w:hint="default" w:ascii="Times New Roman" w:hAnsi="Times New Roman" w:eastAsia="SimSun" w:cs="Times New Roman"/>
          <w:b w:val="0"/>
          <w:bCs w:val="0"/>
          <w:sz w:val="24"/>
          <w:szCs w:val="24"/>
        </w:rPr>
        <w:t xml:space="preserve"> </w:t>
      </w:r>
      <w:r>
        <w:rPr>
          <w:rFonts w:hint="default" w:ascii="Times New Roman" w:hAnsi="Times New Roman" w:eastAsia="SimSun" w:cs="Times New Roman"/>
          <w:b w:val="0"/>
          <w:bCs w:val="0"/>
          <w:sz w:val="24"/>
          <w:szCs w:val="24"/>
          <w:lang w:val="en-US"/>
        </w:rPr>
        <w:t>illnesses</w:t>
      </w:r>
    </w:p>
    <w:p w14:paraId="7A2B82D7">
      <w:pPr>
        <w:pStyle w:val="3"/>
        <w:rPr>
          <w:rFonts w:hint="default" w:ascii="Times New Roman" w:hAnsi="Times New Roman" w:cs="Times New Roman"/>
          <w:sz w:val="24"/>
          <w:szCs w:val="24"/>
        </w:rPr>
      </w:pPr>
    </w:p>
    <w:p w14:paraId="70B5FD64">
      <w:pPr>
        <w:rPr>
          <w:rFonts w:hint="default" w:ascii="Times New Roman" w:hAnsi="Times New Roman" w:cs="Times New Roman"/>
          <w:sz w:val="24"/>
          <w:szCs w:val="24"/>
        </w:rPr>
      </w:pPr>
      <w:r>
        <w:rPr>
          <w:rFonts w:hint="default" w:ascii="Times New Roman" w:hAnsi="Times New Roman" w:cs="Times New Roman"/>
          <w:sz w:val="24"/>
          <w:szCs w:val="24"/>
        </w:rPr>
        <w:t>Attrey, D.P., 2017. Food Safety in the 21st Century: Public Health Perspective. Elsevier.</w:t>
      </w:r>
    </w:p>
    <w:p w14:paraId="4CE376A1">
      <w:pPr>
        <w:rPr>
          <w:rFonts w:hint="default" w:ascii="Times New Roman" w:hAnsi="Times New Roman" w:cs="Times New Roman"/>
          <w:sz w:val="24"/>
          <w:szCs w:val="24"/>
        </w:rPr>
      </w:pPr>
      <w:r>
        <w:rPr>
          <w:rFonts w:hint="default" w:ascii="Times New Roman" w:hAnsi="Times New Roman" w:cs="Times New Roman"/>
          <w:sz w:val="24"/>
          <w:szCs w:val="24"/>
        </w:rPr>
        <w:t>Kasza, G., Csenki, E., Szakos, D., &amp; Izsó, T., 2022. Foodborne pathogens and risk assessment: Emerging trends and mitigation strategies. Food Control, Elsevier.</w:t>
      </w:r>
    </w:p>
    <w:p w14:paraId="2EF6A7C7">
      <w:pPr>
        <w:rPr>
          <w:rFonts w:hint="default" w:ascii="Times New Roman" w:hAnsi="Times New Roman" w:cs="Times New Roman"/>
          <w:sz w:val="24"/>
          <w:szCs w:val="24"/>
        </w:rPr>
      </w:pPr>
      <w:r>
        <w:rPr>
          <w:rFonts w:hint="default" w:ascii="Times New Roman" w:hAnsi="Times New Roman" w:cs="Times New Roman"/>
          <w:sz w:val="24"/>
          <w:szCs w:val="24"/>
        </w:rPr>
        <w:t>Taulo, S., Wetlesen, A., Abrahamsen, R., &amp; Others, 2008. Food safety challenges in low-income settings. International Journal of Food Safety, Nutrition, and Public Health. Elsevier.</w:t>
      </w:r>
    </w:p>
    <w:p w14:paraId="2AAA105B">
      <w:pPr>
        <w:rPr>
          <w:rFonts w:hint="default" w:ascii="Times New Roman" w:hAnsi="Times New Roman" w:cs="Times New Roman"/>
          <w:sz w:val="24"/>
          <w:szCs w:val="24"/>
        </w:rPr>
      </w:pPr>
      <w:r>
        <w:rPr>
          <w:rFonts w:hint="default" w:ascii="Times New Roman" w:hAnsi="Times New Roman" w:cs="Times New Roman"/>
          <w:sz w:val="24"/>
          <w:szCs w:val="24"/>
        </w:rPr>
        <w:t>World Health Organization (WHO), 2018. Food Safety: Key Facts and Global Challenges. WHO.</w:t>
      </w:r>
    </w:p>
    <w:p w14:paraId="01DD6296">
      <w:pPr>
        <w:rPr>
          <w:rFonts w:hint="default" w:ascii="Times New Roman" w:hAnsi="Times New Roman" w:cs="Times New Roman"/>
          <w:sz w:val="24"/>
          <w:szCs w:val="24"/>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DC1E04"/>
    <w:rsid w:val="06AD25D0"/>
    <w:rsid w:val="080674B8"/>
    <w:rsid w:val="092E6540"/>
    <w:rsid w:val="0A0847BB"/>
    <w:rsid w:val="145226B6"/>
    <w:rsid w:val="1CD31A7D"/>
    <w:rsid w:val="1EB54C1F"/>
    <w:rsid w:val="24F27517"/>
    <w:rsid w:val="29CB539B"/>
    <w:rsid w:val="2C464744"/>
    <w:rsid w:val="39BD1052"/>
    <w:rsid w:val="3FDC1E04"/>
    <w:rsid w:val="3FE2343D"/>
    <w:rsid w:val="43E2516D"/>
    <w:rsid w:val="49614689"/>
    <w:rsid w:val="4FD40F88"/>
    <w:rsid w:val="5551141D"/>
    <w:rsid w:val="64B51049"/>
    <w:rsid w:val="69D21CBD"/>
    <w:rsid w:val="6B4C038E"/>
    <w:rsid w:val="6EDB13EF"/>
    <w:rsid w:val="75645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75B6"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rPr>
      <w:sz w:val="24"/>
      <w:szCs w:val="24"/>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2025-03-14T12:13:00Z</dcterms:created>
  <dc:creator>LENOVO</dc:creator>
  <cp:lastModifiedBy>Silvia Msiska</cp:lastModifiedBy>
  <dcterms:modified xsi:type="dcterms:W3CDTF">2025-04-22T17:11:56Z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48FCB5B2F1CD46D9AEDFA867A8B201A2_11</vt:lpwstr>
  </property>
</Properties>
</file>